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D3B9" w14:textId="133B750B" w:rsidR="00926015" w:rsidRPr="00926015" w:rsidRDefault="00926015" w:rsidP="00926015"/>
    <w:p w14:paraId="6BDCAC00" w14:textId="77777777" w:rsidR="00916CB4" w:rsidRDefault="00916CB4"/>
    <w:p w14:paraId="3A813D82" w14:textId="66134F7B" w:rsidR="00926015" w:rsidRPr="00FE62D8" w:rsidRDefault="00926015" w:rsidP="00926015">
      <w:pPr>
        <w:jc w:val="center"/>
        <w:rPr>
          <w:b/>
          <w:bCs/>
          <w:color w:val="C00000"/>
          <w:sz w:val="36"/>
          <w:szCs w:val="36"/>
        </w:rPr>
      </w:pPr>
      <w:bookmarkStart w:id="0" w:name="_Hlk187916897"/>
      <w:r w:rsidRPr="00FE62D8">
        <w:rPr>
          <w:b/>
          <w:bCs/>
          <w:color w:val="C00000"/>
          <w:sz w:val="36"/>
          <w:szCs w:val="36"/>
        </w:rPr>
        <w:t>COMBUSTIBLE</w:t>
      </w:r>
    </w:p>
    <w:p w14:paraId="090250C8" w14:textId="77777777" w:rsidR="00926015" w:rsidRDefault="00926015" w:rsidP="00926015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38F2B4A" w14:textId="11EFD702" w:rsidR="00C82BCA" w:rsidRPr="00C82BCA" w:rsidRDefault="0049448A" w:rsidP="00C82BC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acuerdo con el</w:t>
      </w:r>
      <w:r w:rsidR="004B5718">
        <w:rPr>
          <w:rFonts w:ascii="Calibri" w:hAnsi="Calibri" w:cs="Calibri"/>
          <w:sz w:val="24"/>
          <w:szCs w:val="24"/>
        </w:rPr>
        <w:t xml:space="preserve"> Gobierno de México, la gasolina tenía que disminuir su precio, </w:t>
      </w:r>
      <w:r>
        <w:rPr>
          <w:rFonts w:ascii="Calibri" w:hAnsi="Calibri" w:cs="Calibri"/>
          <w:sz w:val="24"/>
          <w:szCs w:val="24"/>
        </w:rPr>
        <w:t>pese a eso en los primeros dos meses de este año la gasolina seguía en aumento, pero fue hasta este primero</w:t>
      </w:r>
      <w:r w:rsidR="004B5718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marzo</w:t>
      </w:r>
      <w:r w:rsidR="004B5718">
        <w:rPr>
          <w:rFonts w:ascii="Calibri" w:hAnsi="Calibri" w:cs="Calibri"/>
          <w:sz w:val="24"/>
          <w:szCs w:val="24"/>
        </w:rPr>
        <w:t xml:space="preserve"> 2025 se vio reflejado con una reducción de 0.66 centavos. </w:t>
      </w:r>
      <w:r w:rsidR="0089427F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Pero el precio de diésel aumentó 0.45 centavos en el mes de marzo.</w:t>
      </w:r>
    </w:p>
    <w:p w14:paraId="167C9665" w14:textId="77777777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>Las causas son múltiples, a decir de especialistas, principalmente el incremento de los precios internacionales de los energéticos en los últimos años.</w:t>
      </w:r>
    </w:p>
    <w:p w14:paraId="5CD8C23A" w14:textId="71AE8304" w:rsidR="00107BD4" w:rsidRPr="00C82BCA" w:rsidRDefault="00107BD4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Si comparamos el gasto de combustible </w:t>
      </w:r>
      <w:r w:rsidR="00440088">
        <w:rPr>
          <w:rFonts w:ascii="Calibri" w:hAnsi="Calibri" w:cs="Calibri"/>
          <w:sz w:val="24"/>
          <w:szCs w:val="24"/>
        </w:rPr>
        <w:t xml:space="preserve">de </w:t>
      </w:r>
      <w:r w:rsidR="00051605">
        <w:rPr>
          <w:rFonts w:ascii="Calibri" w:hAnsi="Calibri" w:cs="Calibri"/>
          <w:sz w:val="24"/>
          <w:szCs w:val="24"/>
        </w:rPr>
        <w:t xml:space="preserve">enero-marzo 2024 </w:t>
      </w:r>
      <w:r w:rsidR="00440088">
        <w:rPr>
          <w:rFonts w:ascii="Calibri" w:hAnsi="Calibri" w:cs="Calibri"/>
          <w:sz w:val="24"/>
          <w:szCs w:val="24"/>
        </w:rPr>
        <w:t xml:space="preserve">y </w:t>
      </w:r>
      <w:r w:rsidR="00051605">
        <w:rPr>
          <w:rFonts w:ascii="Calibri" w:hAnsi="Calibri" w:cs="Calibri"/>
          <w:sz w:val="24"/>
          <w:szCs w:val="24"/>
        </w:rPr>
        <w:t xml:space="preserve">enero-marzo </w:t>
      </w:r>
      <w:r w:rsidRPr="00C82BCA">
        <w:rPr>
          <w:rFonts w:ascii="Calibri" w:hAnsi="Calibri" w:cs="Calibri"/>
          <w:sz w:val="24"/>
          <w:szCs w:val="24"/>
        </w:rPr>
        <w:t>202</w:t>
      </w:r>
      <w:r w:rsidR="00051605">
        <w:rPr>
          <w:rFonts w:ascii="Calibri" w:hAnsi="Calibri" w:cs="Calibri"/>
          <w:sz w:val="24"/>
          <w:szCs w:val="24"/>
        </w:rPr>
        <w:t>5</w:t>
      </w:r>
      <w:r w:rsidRPr="00C82BCA">
        <w:rPr>
          <w:rFonts w:ascii="Calibri" w:hAnsi="Calibri" w:cs="Calibri"/>
          <w:sz w:val="24"/>
          <w:szCs w:val="24"/>
        </w:rPr>
        <w:t xml:space="preserve">, encontraremos </w:t>
      </w:r>
      <w:r w:rsidR="00051605">
        <w:rPr>
          <w:rFonts w:ascii="Calibri" w:hAnsi="Calibri" w:cs="Calibri"/>
          <w:sz w:val="24"/>
          <w:szCs w:val="24"/>
        </w:rPr>
        <w:t>una disminución de gasto y consum</w:t>
      </w:r>
      <w:r w:rsidR="000069CD">
        <w:rPr>
          <w:rFonts w:ascii="Calibri" w:hAnsi="Calibri" w:cs="Calibri"/>
          <w:sz w:val="24"/>
          <w:szCs w:val="24"/>
        </w:rPr>
        <w:t>o de combustible en dos meses.</w:t>
      </w:r>
    </w:p>
    <w:p w14:paraId="63ED2173" w14:textId="35B8BA4E" w:rsidR="006110D3" w:rsidRDefault="006110D3" w:rsidP="00107BD4">
      <w:pPr>
        <w:jc w:val="both"/>
        <w:rPr>
          <w:sz w:val="24"/>
          <w:szCs w:val="24"/>
        </w:rPr>
      </w:pPr>
    </w:p>
    <w:tbl>
      <w:tblPr>
        <w:tblStyle w:val="Tablaconcuadrcula1clara"/>
        <w:tblW w:w="9360" w:type="dxa"/>
        <w:tblLook w:val="04A0" w:firstRow="1" w:lastRow="0" w:firstColumn="1" w:lastColumn="0" w:noHBand="0" w:noVBand="1"/>
      </w:tblPr>
      <w:tblGrid>
        <w:gridCol w:w="1221"/>
        <w:gridCol w:w="1896"/>
        <w:gridCol w:w="2312"/>
        <w:gridCol w:w="1776"/>
        <w:gridCol w:w="2155"/>
      </w:tblGrid>
      <w:tr w:rsidR="00FE62D8" w:rsidRPr="00FE62D8" w14:paraId="00E044C1" w14:textId="77777777" w:rsidTr="00F54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1B44F203" w14:textId="77777777" w:rsidR="00FE62D8" w:rsidRPr="00440088" w:rsidRDefault="00FE62D8" w:rsidP="00FE62D8">
            <w:pPr>
              <w:jc w:val="center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MES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3F051630" w14:textId="6D2B816D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202</w:t>
            </w:r>
            <w:r w:rsidR="00E30DCF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4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4130F2A6" w14:textId="18023994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20</w:t>
            </w:r>
            <w:r w:rsidR="00E30DCF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25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0DD9A186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AUMENTO</w:t>
            </w:r>
          </w:p>
        </w:tc>
        <w:tc>
          <w:tcPr>
            <w:tcW w:w="2160" w:type="dxa"/>
            <w:shd w:val="clear" w:color="auto" w:fill="A5C9EB" w:themeFill="text2" w:themeFillTint="40"/>
            <w:hideMark/>
          </w:tcPr>
          <w:p w14:paraId="711655A3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 xml:space="preserve">PORCENTAJE </w:t>
            </w:r>
          </w:p>
        </w:tc>
      </w:tr>
      <w:tr w:rsidR="00FE62D8" w:rsidRPr="00FE62D8" w14:paraId="06FF217B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36BA6160" w14:textId="7ADD6401" w:rsidR="00FE62D8" w:rsidRPr="00440088" w:rsidRDefault="00E30DCF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ENERO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273681BC" w14:textId="6B437463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E30DCF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724,972.98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711BD0C7" w14:textId="7CDE21F0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72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2,177.29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3254712" w14:textId="3110C856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C6DFB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-$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2,795.69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58246337" w14:textId="01B96A2E" w:rsidR="00FE62D8" w:rsidRPr="00FE62D8" w:rsidRDefault="00953079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3079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9</w:t>
            </w:r>
            <w:r w:rsidR="00E66935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9.61</w:t>
            </w:r>
            <w:r w:rsidRPr="00953079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%</w:t>
            </w:r>
          </w:p>
        </w:tc>
      </w:tr>
      <w:tr w:rsidR="00FE62D8" w:rsidRPr="00FE62D8" w14:paraId="590F0CAD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04B41FC3" w14:textId="6941D9A7" w:rsidR="00FE62D8" w:rsidRPr="00440088" w:rsidRDefault="00E30DCF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FEBRERO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0D333889" w14:textId="703691E0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706,912.09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010C9832" w14:textId="720A2D32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736,603.38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B376106" w14:textId="693235A7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7C6DFB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  <w:r w:rsidR="00E30DCF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9,691.29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7691F91F" w14:textId="2E63F2AE" w:rsidR="00FE62D8" w:rsidRPr="00FE62D8" w:rsidRDefault="00E66935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104</w:t>
            </w:r>
            <w:r w:rsidR="00953079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%</w:t>
            </w:r>
          </w:p>
        </w:tc>
      </w:tr>
      <w:tr w:rsidR="00FE62D8" w:rsidRPr="00FE62D8" w14:paraId="091C745B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316630C6" w14:textId="145C75EA" w:rsidR="00FE62D8" w:rsidRPr="00440088" w:rsidRDefault="00E30DCF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MARZO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3869F34C" w14:textId="5FBD5851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846,091.10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53A77C81" w14:textId="2816E90F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795,152.94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B604F28" w14:textId="14162947" w:rsidR="00FE62D8" w:rsidRPr="00FE62D8" w:rsidRDefault="00E30DCF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  <w:r w:rsidR="00FE62D8" w:rsidRPr="00E30DC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50,938.16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18C999C2" w14:textId="7F2D61AE" w:rsidR="00FE62D8" w:rsidRPr="00FE62D8" w:rsidRDefault="00E66935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E66935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93.97</w:t>
            </w:r>
            <w:r w:rsidR="00953079" w:rsidRPr="00E66935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%</w:t>
            </w:r>
          </w:p>
        </w:tc>
      </w:tr>
    </w:tbl>
    <w:p w14:paraId="6F04E019" w14:textId="77777777" w:rsidR="001C516A" w:rsidRPr="00FE62D8" w:rsidRDefault="001C516A" w:rsidP="00CF5E78">
      <w:pPr>
        <w:jc w:val="center"/>
        <w:rPr>
          <w:noProof/>
          <w:color w:val="C00000"/>
        </w:rPr>
      </w:pPr>
    </w:p>
    <w:p w14:paraId="635F0F08" w14:textId="0C3D5568" w:rsidR="00C82BCA" w:rsidRPr="00CF5E78" w:rsidRDefault="006B072E" w:rsidP="00CF5E78">
      <w:pPr>
        <w:jc w:val="center"/>
        <w:rPr>
          <w:b/>
          <w:bCs/>
          <w:color w:val="196B24" w:themeColor="accent3"/>
          <w:sz w:val="24"/>
          <w:szCs w:val="24"/>
        </w:rPr>
      </w:pPr>
      <w:r>
        <w:rPr>
          <w:noProof/>
        </w:rPr>
        <w:drawing>
          <wp:inline distT="0" distB="0" distL="0" distR="0" wp14:anchorId="28023054" wp14:editId="676A0695">
            <wp:extent cx="4572000" cy="2743200"/>
            <wp:effectExtent l="0" t="0" r="0" b="0"/>
            <wp:docPr id="5505821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B7D5BB3-33BF-51D1-53B3-1E684EA327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B0E120" w14:textId="77777777" w:rsidR="00F56652" w:rsidRDefault="00F56652" w:rsidP="00546C14">
      <w:pPr>
        <w:jc w:val="both"/>
        <w:rPr>
          <w:rFonts w:ascii="Calibri" w:hAnsi="Calibri" w:cs="Calibri"/>
          <w:sz w:val="24"/>
          <w:szCs w:val="24"/>
        </w:rPr>
      </w:pPr>
    </w:p>
    <w:p w14:paraId="23817F39" w14:textId="77777777" w:rsidR="00EF779F" w:rsidRDefault="00EF779F" w:rsidP="00546C14">
      <w:pPr>
        <w:jc w:val="both"/>
        <w:rPr>
          <w:rFonts w:ascii="Calibri" w:hAnsi="Calibri" w:cs="Calibri"/>
          <w:sz w:val="24"/>
          <w:szCs w:val="24"/>
        </w:rPr>
      </w:pPr>
    </w:p>
    <w:p w14:paraId="0E55C470" w14:textId="77777777" w:rsidR="00440088" w:rsidRDefault="00440088" w:rsidP="00546C14">
      <w:pPr>
        <w:jc w:val="both"/>
        <w:rPr>
          <w:rFonts w:ascii="Calibri" w:hAnsi="Calibri" w:cs="Calibri"/>
          <w:sz w:val="24"/>
          <w:szCs w:val="24"/>
        </w:rPr>
      </w:pPr>
    </w:p>
    <w:p w14:paraId="24CBC677" w14:textId="77777777" w:rsidR="00440088" w:rsidRDefault="00440088" w:rsidP="00546C14">
      <w:pPr>
        <w:jc w:val="both"/>
        <w:rPr>
          <w:rFonts w:ascii="Calibri" w:hAnsi="Calibri" w:cs="Calibri"/>
          <w:sz w:val="24"/>
          <w:szCs w:val="24"/>
        </w:rPr>
      </w:pPr>
    </w:p>
    <w:p w14:paraId="76B95387" w14:textId="1980DF10" w:rsidR="00546C14" w:rsidRPr="00546C14" w:rsidRDefault="00546C14" w:rsidP="00546C14">
      <w:pPr>
        <w:jc w:val="both"/>
        <w:rPr>
          <w:rFonts w:ascii="Calibri" w:hAnsi="Calibri" w:cs="Calibri"/>
          <w:sz w:val="24"/>
          <w:szCs w:val="24"/>
        </w:rPr>
      </w:pPr>
      <w:r w:rsidRPr="00546C14">
        <w:rPr>
          <w:rFonts w:ascii="Calibri" w:hAnsi="Calibri" w:cs="Calibri"/>
          <w:sz w:val="24"/>
          <w:szCs w:val="24"/>
        </w:rPr>
        <w:t>Es importante señalar que cada semana se dan a conocer en el DOF los porcentajes de subsidio o estímulo fiscal a los combustibles, por lo que se podrían esperar variaciones en los precios a lo largo del 202</w:t>
      </w:r>
      <w:r w:rsidR="004977DE">
        <w:rPr>
          <w:rFonts w:ascii="Calibri" w:hAnsi="Calibri" w:cs="Calibri"/>
          <w:sz w:val="24"/>
          <w:szCs w:val="24"/>
        </w:rPr>
        <w:t>5</w:t>
      </w:r>
      <w:r w:rsidRPr="00546C14">
        <w:rPr>
          <w:rFonts w:ascii="Calibri" w:hAnsi="Calibri" w:cs="Calibri"/>
          <w:sz w:val="24"/>
          <w:szCs w:val="24"/>
        </w:rPr>
        <w:t>. Los estímulos fiscales se anuncian cada viernes y tienen una vigencia de una semana a partir de su publicación en el DOF. Son un tipo de “descuento” para que las mercancías no aumenten más allá de la inflación. Así, un estímulo fiscal del 100% indica que los consumidores no pagarán el IEPS, mientras que un estímulo del 50%, dará como resultado que los consumidores paguen solo la mitad del gravamen.</w:t>
      </w:r>
    </w:p>
    <w:tbl>
      <w:tblPr>
        <w:tblpPr w:leftFromText="141" w:rightFromText="141" w:vertAnchor="text" w:horzAnchor="page" w:tblpX="6326" w:tblpY="425"/>
        <w:tblW w:w="5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76"/>
        <w:gridCol w:w="1276"/>
        <w:gridCol w:w="1031"/>
        <w:gridCol w:w="1254"/>
      </w:tblGrid>
      <w:tr w:rsidR="00474063" w:rsidRPr="008C0EC7" w14:paraId="6E28EACB" w14:textId="77777777" w:rsidTr="00386C65">
        <w:trPr>
          <w:trHeight w:val="284"/>
        </w:trPr>
        <w:tc>
          <w:tcPr>
            <w:tcW w:w="704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3FCB47B4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748AA4AC" w14:textId="411D334F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</w:t>
            </w:r>
            <w:r w:rsidR="00E30DC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05DC43FD" w14:textId="59D30F09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</w:t>
            </w:r>
            <w:r w:rsidR="00E30DC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</w:tr>
      <w:tr w:rsidR="008C0EC7" w:rsidRPr="008C0EC7" w14:paraId="1C18CD13" w14:textId="77777777" w:rsidTr="00386C65">
        <w:trPr>
          <w:trHeight w:val="270"/>
        </w:trPr>
        <w:tc>
          <w:tcPr>
            <w:tcW w:w="704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vAlign w:val="center"/>
            <w:hideMark/>
          </w:tcPr>
          <w:p w14:paraId="32C45C31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21193C0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75DFF5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</w:tr>
      <w:tr w:rsidR="00F56652" w:rsidRPr="008C0EC7" w14:paraId="658B1B87" w14:textId="77777777" w:rsidTr="00386C65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E801509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2B3F0E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LITROS 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C2CD643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7F2478BD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538F7E7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8C0EC7" w14:paraId="77DECCA0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4ABF63E" w14:textId="7889CD42" w:rsidR="008C0EC7" w:rsidRPr="008C0EC7" w:rsidRDefault="00E6693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74126716" w14:textId="34B26453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1,318.83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0109AA89" w14:textId="4267B952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281,265.99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6AE000D7" w14:textId="5D3D5B34" w:rsidR="008C0EC7" w:rsidRPr="008C0EC7" w:rsidRDefault="00DF6BD8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8,448.42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E8D255A" w14:textId="67B309C1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F6BD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221,699.73</w:t>
            </w:r>
          </w:p>
        </w:tc>
      </w:tr>
      <w:tr w:rsidR="00F56652" w:rsidRPr="008C0EC7" w14:paraId="77A86DBC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395D1BA6" w14:textId="517006B3" w:rsidR="008C0EC7" w:rsidRPr="008C0EC7" w:rsidRDefault="00E6693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FEB.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43FA7D28" w14:textId="2F01A386" w:rsidR="008C0EC7" w:rsidRPr="008C0EC7" w:rsidRDefault="00DC703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10,947.89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7BA036CD" w14:textId="335083E5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275,768.76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4C635D6B" w14:textId="0873BB9C" w:rsidR="008C0EC7" w:rsidRPr="008C0EC7" w:rsidRDefault="00DF6BD8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9,453.03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1B03B0F5" w14:textId="5E535C36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F6BD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251,994.39</w:t>
            </w:r>
          </w:p>
        </w:tc>
      </w:tr>
      <w:tr w:rsidR="00F56652" w:rsidRPr="008C0EC7" w14:paraId="41248D52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386B11F" w14:textId="09F349CD" w:rsidR="008C0EC7" w:rsidRPr="008C0EC7" w:rsidRDefault="00E6693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145B46D" w14:textId="5738CBCD" w:rsidR="008C0EC7" w:rsidRPr="008C0EC7" w:rsidRDefault="00DC703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14,319.80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5A277BFC" w14:textId="12E5BD0D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360,928.70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7CC49D7" w14:textId="5503414A" w:rsidR="008C0EC7" w:rsidRPr="008C0EC7" w:rsidRDefault="00DF6BD8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9,365.31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3398809" w14:textId="6BDD2DDA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F6BD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251,458.77</w:t>
            </w:r>
          </w:p>
        </w:tc>
      </w:tr>
    </w:tbl>
    <w:tbl>
      <w:tblPr>
        <w:tblpPr w:leftFromText="141" w:rightFromText="141" w:vertAnchor="text" w:horzAnchor="page" w:tblpX="399" w:tblpY="427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309"/>
        <w:gridCol w:w="1276"/>
        <w:gridCol w:w="1031"/>
        <w:gridCol w:w="1254"/>
      </w:tblGrid>
      <w:tr w:rsidR="00F56652" w:rsidRPr="00EF2E5F" w14:paraId="4922D755" w14:textId="77777777" w:rsidTr="00F56652">
        <w:trPr>
          <w:trHeight w:val="241"/>
        </w:trPr>
        <w:tc>
          <w:tcPr>
            <w:tcW w:w="90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40F73823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7316A68" w14:textId="1B28E7A1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</w:t>
            </w:r>
            <w:r w:rsidR="00E30DC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DCC13DC" w14:textId="4EB4EE15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</w:t>
            </w:r>
            <w:r w:rsidR="00E30DC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</w:tr>
      <w:tr w:rsidR="00F56652" w:rsidRPr="00EF2E5F" w14:paraId="238729A7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  <w:hideMark/>
          </w:tcPr>
          <w:p w14:paraId="58ABADD2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D38383D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MAGNA 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00D26C08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MAGNA</w:t>
            </w:r>
          </w:p>
        </w:tc>
      </w:tr>
      <w:tr w:rsidR="00F56652" w:rsidRPr="00EF2E5F" w14:paraId="38502AE3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1355AEBC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591D10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B171755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FE6E7C0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855A2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EF2E5F" w14:paraId="39894670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768A0939" w14:textId="73447B4B" w:rsidR="00F56652" w:rsidRPr="00EF2E5F" w:rsidRDefault="00E6693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ENERO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890C9D8" w14:textId="76B46248" w:rsidR="00F56652" w:rsidRPr="00EF2E5F" w:rsidRDefault="00DC7037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19,311.51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59C19F1" w14:textId="1721FEFB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443,706.99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609C0E69" w14:textId="577BCB31" w:rsidR="00F56652" w:rsidRPr="00EF2E5F" w:rsidRDefault="00DC7037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20,289.30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DE1C682" w14:textId="61D08433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500,477.56</w:t>
            </w:r>
          </w:p>
        </w:tc>
      </w:tr>
      <w:tr w:rsidR="00F56652" w:rsidRPr="00EF2E5F" w14:paraId="57332BDB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62600F07" w14:textId="040B3349" w:rsidR="00F56652" w:rsidRPr="00EF2E5F" w:rsidRDefault="00E6693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FEB.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1A2D5F4E" w14:textId="060FE085" w:rsidR="00F56652" w:rsidRPr="00EF2E5F" w:rsidRDefault="00DC7037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1,888,078.98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59ADEC0E" w14:textId="28D184C6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431,143.33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0045C230" w14:textId="2F0F50B7" w:rsidR="00F56652" w:rsidRPr="00EF2E5F" w:rsidRDefault="00DC7037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19,717.94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0F374A89" w14:textId="024DFE70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484,608.99</w:t>
            </w:r>
          </w:p>
        </w:tc>
      </w:tr>
      <w:tr w:rsidR="00F56652" w:rsidRPr="00EF2E5F" w14:paraId="1A5E44AC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612660B5" w14:textId="2F3F3EEE" w:rsidR="00F56652" w:rsidRPr="00EF2E5F" w:rsidRDefault="00E6693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MARZO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858DE3E" w14:textId="2D01DB19" w:rsidR="00F56652" w:rsidRPr="00EF2E5F" w:rsidRDefault="00DC7037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20,145.87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2452A5E0" w14:textId="41B86C74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C703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485,162.40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1B24271" w14:textId="00107EA9" w:rsidR="00F56652" w:rsidRPr="00EF2E5F" w:rsidRDefault="00DC7037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22,663.37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C1F0C7" w:themeFill="accent3" w:themeFillTint="33"/>
            <w:noWrap/>
            <w:vAlign w:val="center"/>
            <w:hideMark/>
          </w:tcPr>
          <w:p w14:paraId="7EABA823" w14:textId="45377B2F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DF6BD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543,694.17</w:t>
            </w:r>
          </w:p>
        </w:tc>
      </w:tr>
    </w:tbl>
    <w:p w14:paraId="0C90593D" w14:textId="46FB9BF1" w:rsidR="00546C14" w:rsidRPr="00FE62D8" w:rsidRDefault="001C516A" w:rsidP="001C516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color w:val="191919"/>
          <w:kern w:val="0"/>
          <w:sz w:val="24"/>
          <w:szCs w:val="24"/>
          <w:lang w:eastAsia="es-MX"/>
          <w14:ligatures w14:val="none"/>
        </w:rPr>
        <w:t xml:space="preserve">            </w:t>
      </w:r>
      <w:r w:rsidR="00137A17" w:rsidRPr="00FE62D8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COMPARATIVA DE GASTO DE COMBUSTIBLE POR MES 202</w:t>
      </w:r>
      <w:r w:rsidR="00010022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4</w:t>
      </w:r>
      <w:r w:rsidR="00137A17" w:rsidRPr="00FE62D8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-202</w:t>
      </w:r>
      <w:r w:rsidR="00010022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5</w:t>
      </w:r>
      <w:r w:rsidR="00137A17" w:rsidRPr="00FE62D8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.</w:t>
      </w:r>
    </w:p>
    <w:p w14:paraId="22B9ECC8" w14:textId="34BF4F69" w:rsidR="00137A17" w:rsidRDefault="00841898" w:rsidP="00137A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DFC9D" wp14:editId="58C59220">
            <wp:simplePos x="0" y="0"/>
            <wp:positionH relativeFrom="column">
              <wp:posOffset>-661934</wp:posOffset>
            </wp:positionH>
            <wp:positionV relativeFrom="paragraph">
              <wp:posOffset>1058545</wp:posOffset>
            </wp:positionV>
            <wp:extent cx="3407410" cy="2265045"/>
            <wp:effectExtent l="0" t="0" r="2540" b="1905"/>
            <wp:wrapNone/>
            <wp:docPr id="5886216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5A89E9-2782-85C7-51A7-7B7E33C78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92D5E0" wp14:editId="651F018F">
            <wp:simplePos x="0" y="0"/>
            <wp:positionH relativeFrom="column">
              <wp:posOffset>2847711</wp:posOffset>
            </wp:positionH>
            <wp:positionV relativeFrom="paragraph">
              <wp:posOffset>1050290</wp:posOffset>
            </wp:positionV>
            <wp:extent cx="3528060" cy="2273671"/>
            <wp:effectExtent l="0" t="0" r="15240" b="12700"/>
            <wp:wrapNone/>
            <wp:docPr id="16226802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2E48869-B61D-5AFE-F909-E1BFF4348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FB462" w14:textId="539A9E65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noProof/>
        </w:rPr>
      </w:pPr>
    </w:p>
    <w:p w14:paraId="1FDC66F7" w14:textId="2A33ACB6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7A5CFD15" w14:textId="1563FF69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05FA9A1" w14:textId="72317CE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5B8D45F" w14:textId="2126BE0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5A1854F" w14:textId="1FA3F332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24409661" w14:textId="77777777" w:rsidR="00EF2E5F" w:rsidRDefault="00EF2E5F" w:rsidP="00FE6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3BCC340" w14:textId="596E9E50" w:rsidR="001F18A1" w:rsidRDefault="00E42FDD" w:rsidP="00FE62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Afortunadamente</w:t>
      </w:r>
      <w:r w:rsidR="00474063"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,</w:t>
      </w:r>
      <w:r w:rsidR="00BD3064"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 el gasto del combustible dentro del gobierno municipal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se ha visto </w:t>
      </w: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en una reducción, esto debido a la disminución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que se a generado en el precio de combustible</w:t>
      </w: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,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se </w:t>
      </w: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sigue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trabajando a marchas forzadas en las comunidades para dar una atención de calidad y en ocasiones las maquinas por el trabajo que realizan se requiere generar mayor gasto de combustible.</w:t>
      </w:r>
    </w:p>
    <w:p w14:paraId="65B74D90" w14:textId="77777777" w:rsidR="001F18A1" w:rsidRDefault="001F18A1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bookmarkEnd w:id="0"/>
    <w:p w14:paraId="69B557A7" w14:textId="5BD6103D" w:rsidR="00CF5E78" w:rsidRPr="00CF5E78" w:rsidRDefault="00CF5E78" w:rsidP="00CF5E78">
      <w:pPr>
        <w:tabs>
          <w:tab w:val="left" w:pos="2475"/>
        </w:tabs>
        <w:rPr>
          <w:sz w:val="24"/>
          <w:szCs w:val="24"/>
        </w:rPr>
      </w:pPr>
    </w:p>
    <w:sectPr w:rsidR="00CF5E78" w:rsidRPr="00CF5E7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A8DF" w14:textId="77777777" w:rsidR="00FD7A7F" w:rsidRDefault="00FD7A7F" w:rsidP="00F56652">
      <w:pPr>
        <w:spacing w:after="0" w:line="240" w:lineRule="auto"/>
      </w:pPr>
      <w:r>
        <w:separator/>
      </w:r>
    </w:p>
  </w:endnote>
  <w:endnote w:type="continuationSeparator" w:id="0">
    <w:p w14:paraId="6B900747" w14:textId="77777777" w:rsidR="00FD7A7F" w:rsidRDefault="00FD7A7F" w:rsidP="00F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055C" w14:textId="77777777" w:rsidR="00FD7A7F" w:rsidRDefault="00FD7A7F" w:rsidP="00F56652">
      <w:pPr>
        <w:spacing w:after="0" w:line="240" w:lineRule="auto"/>
      </w:pPr>
      <w:r>
        <w:separator/>
      </w:r>
    </w:p>
  </w:footnote>
  <w:footnote w:type="continuationSeparator" w:id="0">
    <w:p w14:paraId="70439E88" w14:textId="77777777" w:rsidR="00FD7A7F" w:rsidRDefault="00FD7A7F" w:rsidP="00F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2DA1" w14:textId="02916C9D" w:rsidR="00F56652" w:rsidRDefault="00F5665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066DA" wp14:editId="2DC156C8">
          <wp:simplePos x="0" y="0"/>
          <wp:positionH relativeFrom="column">
            <wp:posOffset>-889635</wp:posOffset>
          </wp:positionH>
          <wp:positionV relativeFrom="paragraph">
            <wp:posOffset>-209550</wp:posOffset>
          </wp:positionV>
          <wp:extent cx="2038350" cy="1112520"/>
          <wp:effectExtent l="0" t="0" r="0" b="0"/>
          <wp:wrapNone/>
          <wp:docPr id="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EEA952C-4076-480F-8899-B6200FD9D9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EEA952C-4076-480F-8899-B6200FD9D9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0"/>
                  <a:stretch/>
                </pic:blipFill>
                <pic:spPr>
                  <a:xfrm>
                    <a:off x="0" y="0"/>
                    <a:ext cx="203835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D3AF9" wp14:editId="35098B40">
              <wp:simplePos x="0" y="0"/>
              <wp:positionH relativeFrom="column">
                <wp:posOffset>2933527</wp:posOffset>
              </wp:positionH>
              <wp:positionV relativeFrom="paragraph">
                <wp:posOffset>-211650</wp:posOffset>
              </wp:positionV>
              <wp:extent cx="3419475" cy="611470"/>
              <wp:effectExtent l="0" t="0" r="0" b="0"/>
              <wp:wrapNone/>
              <wp:docPr id="62416824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1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A62B7" w14:textId="77777777" w:rsidR="00F56652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26015">
                            <w:rPr>
                              <w:b/>
                              <w:bCs/>
                            </w:rPr>
                            <w:t>SUBDIRECCION DE PARQUE VEHICULAR</w:t>
                          </w:r>
                        </w:p>
                        <w:p w14:paraId="6839DF7E" w14:textId="77777777" w:rsidR="00F56652" w:rsidRPr="00926015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COORDINACION DE COMBUSTIBLES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D3A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pt;margin-top:-16.65pt;width:269.2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" filled="f" stroked="f">
              <v:textbox>
                <w:txbxContent>
                  <w:p w14:paraId="4DCA62B7" w14:textId="77777777" w:rsidR="00F56652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 w:rsidRPr="00926015">
                      <w:rPr>
                        <w:b/>
                        <w:bCs/>
                      </w:rPr>
                      <w:t>SUBDIRECCION DE PARQUE VEHICULAR</w:t>
                    </w:r>
                  </w:p>
                  <w:p w14:paraId="6839DF7E" w14:textId="77777777" w:rsidR="00F56652" w:rsidRPr="00926015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COORDINACION DE COMBUSTIBLES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65"/>
    <w:multiLevelType w:val="multilevel"/>
    <w:tmpl w:val="A6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40007"/>
    <w:multiLevelType w:val="multilevel"/>
    <w:tmpl w:val="669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6435">
    <w:abstractNumId w:val="0"/>
  </w:num>
  <w:num w:numId="2" w16cid:durableId="14739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15"/>
    <w:rsid w:val="000069CD"/>
    <w:rsid w:val="00010022"/>
    <w:rsid w:val="00051605"/>
    <w:rsid w:val="00085104"/>
    <w:rsid w:val="000921D1"/>
    <w:rsid w:val="001068D7"/>
    <w:rsid w:val="00107BD4"/>
    <w:rsid w:val="00137A17"/>
    <w:rsid w:val="001C516A"/>
    <w:rsid w:val="001D4575"/>
    <w:rsid w:val="001E0CB4"/>
    <w:rsid w:val="001F18A1"/>
    <w:rsid w:val="00241465"/>
    <w:rsid w:val="00295FE8"/>
    <w:rsid w:val="00386C65"/>
    <w:rsid w:val="003D3F71"/>
    <w:rsid w:val="003E3814"/>
    <w:rsid w:val="00440088"/>
    <w:rsid w:val="00461DA6"/>
    <w:rsid w:val="00474063"/>
    <w:rsid w:val="0049448A"/>
    <w:rsid w:val="004977DE"/>
    <w:rsid w:val="004B5718"/>
    <w:rsid w:val="004E66FA"/>
    <w:rsid w:val="004F25D4"/>
    <w:rsid w:val="00516292"/>
    <w:rsid w:val="00546C14"/>
    <w:rsid w:val="00550FC3"/>
    <w:rsid w:val="005E380B"/>
    <w:rsid w:val="006110D3"/>
    <w:rsid w:val="006131FF"/>
    <w:rsid w:val="0067555C"/>
    <w:rsid w:val="006B072E"/>
    <w:rsid w:val="006D6262"/>
    <w:rsid w:val="007103B9"/>
    <w:rsid w:val="007C6DFB"/>
    <w:rsid w:val="007F0A07"/>
    <w:rsid w:val="00824C2B"/>
    <w:rsid w:val="00837F4E"/>
    <w:rsid w:val="00841898"/>
    <w:rsid w:val="00880910"/>
    <w:rsid w:val="0089427F"/>
    <w:rsid w:val="008A5564"/>
    <w:rsid w:val="008C0EC7"/>
    <w:rsid w:val="00906696"/>
    <w:rsid w:val="00916CB4"/>
    <w:rsid w:val="00926015"/>
    <w:rsid w:val="00953079"/>
    <w:rsid w:val="00AA35DD"/>
    <w:rsid w:val="00AC4F3B"/>
    <w:rsid w:val="00B47447"/>
    <w:rsid w:val="00BD3064"/>
    <w:rsid w:val="00C12219"/>
    <w:rsid w:val="00C41064"/>
    <w:rsid w:val="00C71B0C"/>
    <w:rsid w:val="00C82BCA"/>
    <w:rsid w:val="00C8714C"/>
    <w:rsid w:val="00CF2435"/>
    <w:rsid w:val="00CF5E78"/>
    <w:rsid w:val="00D261B9"/>
    <w:rsid w:val="00D57E3A"/>
    <w:rsid w:val="00D62580"/>
    <w:rsid w:val="00D835FE"/>
    <w:rsid w:val="00DC7037"/>
    <w:rsid w:val="00DD42B4"/>
    <w:rsid w:val="00DF6BD8"/>
    <w:rsid w:val="00E02A61"/>
    <w:rsid w:val="00E02DB2"/>
    <w:rsid w:val="00E15F27"/>
    <w:rsid w:val="00E30DCF"/>
    <w:rsid w:val="00E42FDD"/>
    <w:rsid w:val="00E66935"/>
    <w:rsid w:val="00E96B10"/>
    <w:rsid w:val="00EB56FA"/>
    <w:rsid w:val="00EF2E5F"/>
    <w:rsid w:val="00EF779F"/>
    <w:rsid w:val="00F5449A"/>
    <w:rsid w:val="00F56652"/>
    <w:rsid w:val="00F81799"/>
    <w:rsid w:val="00FB744E"/>
    <w:rsid w:val="00FD7A7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9E85"/>
  <w15:chartTrackingRefBased/>
  <w15:docId w15:val="{A51141B1-2AE1-41C1-936F-8E2A110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015"/>
    <w:rPr>
      <w:b/>
      <w:bCs/>
      <w:smallCaps/>
      <w:color w:val="0F4761" w:themeColor="accent1" w:themeShade="BF"/>
      <w:spacing w:val="5"/>
    </w:rPr>
  </w:style>
  <w:style w:type="table" w:styleId="Tablaconcuadrcula5oscura-nfasis1">
    <w:name w:val="Grid Table 5 Dark Accent 1"/>
    <w:basedOn w:val="Tablanormal"/>
    <w:uiPriority w:val="50"/>
    <w:rsid w:val="006110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82B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2B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52"/>
  </w:style>
  <w:style w:type="paragraph" w:styleId="Piedepgina">
    <w:name w:val="footer"/>
    <w:basedOn w:val="Normal"/>
    <w:link w:val="Piedepgina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52"/>
  </w:style>
  <w:style w:type="table" w:styleId="Tablaconcuadrcula1clara">
    <w:name w:val="Grid Table 1 Light"/>
    <w:basedOn w:val="Tablanormal"/>
    <w:uiPriority w:val="46"/>
    <w:rsid w:val="004400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'COMBUSTIBLE 2025'!$P$13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'COMBUSTIBLE 2025'!$Q$12:$S$12</c:f>
              <c:strCache>
                <c:ptCount val="3"/>
                <c:pt idx="0">
                  <c:v>ENERO</c:v>
                </c:pt>
                <c:pt idx="1">
                  <c:v>FEBERO</c:v>
                </c:pt>
                <c:pt idx="2">
                  <c:v>MARZO</c:v>
                </c:pt>
              </c:strCache>
            </c:strRef>
          </c:cat>
          <c:val>
            <c:numRef>
              <c:f>'COMBUSTIBLE 2025'!$Q$13:$S$13</c:f>
              <c:numCache>
                <c:formatCode>General</c:formatCode>
                <c:ptCount val="3"/>
                <c:pt idx="0">
                  <c:v>724972.98</c:v>
                </c:pt>
                <c:pt idx="1">
                  <c:v>706912.09</c:v>
                </c:pt>
                <c:pt idx="2">
                  <c:v>846091.1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1-43A0-9C3F-A0E375CB568A}"/>
            </c:ext>
          </c:extLst>
        </c:ser>
        <c:ser>
          <c:idx val="1"/>
          <c:order val="1"/>
          <c:tx>
            <c:strRef>
              <c:f>'COMBUSTIBLE 2025'!$P$14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cat>
            <c:strRef>
              <c:f>'COMBUSTIBLE 2025'!$Q$12:$S$12</c:f>
              <c:strCache>
                <c:ptCount val="3"/>
                <c:pt idx="0">
                  <c:v>ENERO</c:v>
                </c:pt>
                <c:pt idx="1">
                  <c:v>FEBERO</c:v>
                </c:pt>
                <c:pt idx="2">
                  <c:v>MARZO</c:v>
                </c:pt>
              </c:strCache>
            </c:strRef>
          </c:cat>
          <c:val>
            <c:numRef>
              <c:f>'COMBUSTIBLE 2025'!$Q$14:$S$14</c:f>
              <c:numCache>
                <c:formatCode>General</c:formatCode>
                <c:ptCount val="3"/>
                <c:pt idx="0">
                  <c:v>722177.29</c:v>
                </c:pt>
                <c:pt idx="1">
                  <c:v>736603.38</c:v>
                </c:pt>
                <c:pt idx="2">
                  <c:v>795152.94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B1-43A0-9C3F-A0E375CB5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9254783"/>
        <c:axId val="369257663"/>
        <c:axId val="0"/>
      </c:bar3DChart>
      <c:catAx>
        <c:axId val="369254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57663"/>
        <c:crosses val="autoZero"/>
        <c:auto val="1"/>
        <c:lblAlgn val="ctr"/>
        <c:lblOffset val="100"/>
        <c:noMultiLvlLbl val="0"/>
      </c:catAx>
      <c:valAx>
        <c:axId val="3692576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9254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DIFERENCIAS</a:t>
            </a:r>
            <a:r>
              <a:rPr lang="es-MX" baseline="0"/>
              <a:t> MAGNA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Hoja1!$A$7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Hoja1!$B$4:$E$6</c:f>
              <c:multiLvlStrCache>
                <c:ptCount val="4"/>
                <c:lvl>
                  <c:pt idx="0">
                    <c:v>LITROS</c:v>
                  </c:pt>
                  <c:pt idx="1">
                    <c:v> COSTO </c:v>
                  </c:pt>
                  <c:pt idx="2">
                    <c:v>LITROS</c:v>
                  </c:pt>
                  <c:pt idx="3">
                    <c:v> COSTO </c:v>
                  </c:pt>
                </c:lvl>
                <c:lvl>
                  <c:pt idx="0">
                    <c:v>MAGNA </c:v>
                  </c:pt>
                  <c:pt idx="2">
                    <c:v>MAGNA 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Hoja1!$B$7:$E$7</c:f>
              <c:numCache>
                <c:formatCode>"$"#,##0.00_);[Red]\("$"#,##0.00\)</c:formatCode>
                <c:ptCount val="4"/>
                <c:pt idx="0" formatCode="#,##0.00">
                  <c:v>19311.509999999998</c:v>
                </c:pt>
                <c:pt idx="1">
                  <c:v>443706.99</c:v>
                </c:pt>
                <c:pt idx="2" formatCode="#,##0.00">
                  <c:v>20289.3</c:v>
                </c:pt>
                <c:pt idx="3">
                  <c:v>500477.56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2-40C5-8268-2B1B13D56D81}"/>
            </c:ext>
          </c:extLst>
        </c:ser>
        <c:ser>
          <c:idx val="1"/>
          <c:order val="1"/>
          <c:tx>
            <c:strRef>
              <c:f>Hoja1!$A$8</c:f>
              <c:strCache>
                <c:ptCount val="1"/>
                <c:pt idx="0">
                  <c:v>FEB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Hoja1!$B$4:$E$6</c:f>
              <c:multiLvlStrCache>
                <c:ptCount val="4"/>
                <c:lvl>
                  <c:pt idx="0">
                    <c:v>LITROS</c:v>
                  </c:pt>
                  <c:pt idx="1">
                    <c:v> COSTO </c:v>
                  </c:pt>
                  <c:pt idx="2">
                    <c:v>LITROS</c:v>
                  </c:pt>
                  <c:pt idx="3">
                    <c:v> COSTO </c:v>
                  </c:pt>
                </c:lvl>
                <c:lvl>
                  <c:pt idx="0">
                    <c:v>MAGNA </c:v>
                  </c:pt>
                  <c:pt idx="2">
                    <c:v>MAGNA 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Hoja1!$B$8:$E$8</c:f>
              <c:numCache>
                <c:formatCode>"$"#,##0.00_);[Red]\("$"#,##0.00\)</c:formatCode>
                <c:ptCount val="4"/>
                <c:pt idx="0" formatCode="#,##0.00">
                  <c:v>1888078.98</c:v>
                </c:pt>
                <c:pt idx="1">
                  <c:v>431143.33</c:v>
                </c:pt>
                <c:pt idx="2" formatCode="#,##0.00">
                  <c:v>19717.939999999999</c:v>
                </c:pt>
                <c:pt idx="3">
                  <c:v>484608.99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A2-40C5-8268-2B1B13D56D81}"/>
            </c:ext>
          </c:extLst>
        </c:ser>
        <c:ser>
          <c:idx val="2"/>
          <c:order val="2"/>
          <c:tx>
            <c:strRef>
              <c:f>Hoja1!$A$9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Hoja1!$B$4:$E$6</c:f>
              <c:multiLvlStrCache>
                <c:ptCount val="4"/>
                <c:lvl>
                  <c:pt idx="0">
                    <c:v>LITROS</c:v>
                  </c:pt>
                  <c:pt idx="1">
                    <c:v> COSTO </c:v>
                  </c:pt>
                  <c:pt idx="2">
                    <c:v>LITROS</c:v>
                  </c:pt>
                  <c:pt idx="3">
                    <c:v> COSTO </c:v>
                  </c:pt>
                </c:lvl>
                <c:lvl>
                  <c:pt idx="0">
                    <c:v>MAGNA </c:v>
                  </c:pt>
                  <c:pt idx="2">
                    <c:v>MAGNA 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Hoja1!$B$9:$E$9</c:f>
              <c:numCache>
                <c:formatCode>"$"#,##0.00_);[Red]\("$"#,##0.00\)</c:formatCode>
                <c:ptCount val="4"/>
                <c:pt idx="0" formatCode="#,##0.00">
                  <c:v>20145.87</c:v>
                </c:pt>
                <c:pt idx="1">
                  <c:v>485162.4</c:v>
                </c:pt>
                <c:pt idx="2" formatCode="#,##0.00">
                  <c:v>22663.37</c:v>
                </c:pt>
                <c:pt idx="3">
                  <c:v>543694.17000000004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A2-40C5-8268-2B1B13D56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9246623"/>
        <c:axId val="369242303"/>
        <c:axId val="0"/>
      </c:bar3DChart>
      <c:catAx>
        <c:axId val="369246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42303"/>
        <c:crosses val="autoZero"/>
        <c:auto val="1"/>
        <c:lblAlgn val="ctr"/>
        <c:lblOffset val="100"/>
        <c:noMultiLvlLbl val="0"/>
      </c:catAx>
      <c:valAx>
        <c:axId val="3692423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3692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DIFERENCIA</a:t>
            </a:r>
            <a:r>
              <a:rPr lang="es-MX" baseline="0"/>
              <a:t> DIESEL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Hoja1!$A$32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Hoja1!$B$29:$E$31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Hoja1!$B$32:$E$32</c:f>
              <c:numCache>
                <c:formatCode>"$"#,##0.00_);[Red]\("$"#,##0.00\)</c:formatCode>
                <c:ptCount val="4"/>
                <c:pt idx="0" formatCode="#,##0.00">
                  <c:v>131318.82999999999</c:v>
                </c:pt>
                <c:pt idx="1">
                  <c:v>281265.99</c:v>
                </c:pt>
                <c:pt idx="2" formatCode="#,##0.00">
                  <c:v>8448.42</c:v>
                </c:pt>
                <c:pt idx="3">
                  <c:v>221699.73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E-4221-B842-328DEE3AD8F7}"/>
            </c:ext>
          </c:extLst>
        </c:ser>
        <c:ser>
          <c:idx val="1"/>
          <c:order val="1"/>
          <c:tx>
            <c:strRef>
              <c:f>Hoja1!$A$33</c:f>
              <c:strCache>
                <c:ptCount val="1"/>
                <c:pt idx="0">
                  <c:v>FEB.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Hoja1!$B$29:$E$31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Hoja1!$B$33:$E$33</c:f>
              <c:numCache>
                <c:formatCode>"$"#,##0.00_);[Red]\("$"#,##0.00\)</c:formatCode>
                <c:ptCount val="4"/>
                <c:pt idx="0" formatCode="#,##0.00">
                  <c:v>10947.89</c:v>
                </c:pt>
                <c:pt idx="1">
                  <c:v>275768.76</c:v>
                </c:pt>
                <c:pt idx="2" formatCode="#,##0.00">
                  <c:v>9453.0300000000007</c:v>
                </c:pt>
                <c:pt idx="3">
                  <c:v>251994.39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AE-4221-B842-328DEE3AD8F7}"/>
            </c:ext>
          </c:extLst>
        </c:ser>
        <c:ser>
          <c:idx val="2"/>
          <c:order val="2"/>
          <c:tx>
            <c:strRef>
              <c:f>Hoja1!$A$34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Hoja1!$B$29:$E$31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Hoja1!$B$34:$E$34</c:f>
              <c:numCache>
                <c:formatCode>"$"#,##0.00_);[Red]\("$"#,##0.00\)</c:formatCode>
                <c:ptCount val="4"/>
                <c:pt idx="0" formatCode="#,##0.00">
                  <c:v>14319.8</c:v>
                </c:pt>
                <c:pt idx="1">
                  <c:v>360928.7</c:v>
                </c:pt>
                <c:pt idx="2" formatCode="#,##0.00">
                  <c:v>9365.31</c:v>
                </c:pt>
                <c:pt idx="3">
                  <c:v>251458.77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AE-4221-B842-328DEE3AD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9233663"/>
        <c:axId val="369249503"/>
        <c:axId val="0"/>
      </c:bar3DChart>
      <c:catAx>
        <c:axId val="369233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49503"/>
        <c:crosses val="autoZero"/>
        <c:auto val="1"/>
        <c:lblAlgn val="ctr"/>
        <c:lblOffset val="100"/>
        <c:noMultiLvlLbl val="0"/>
      </c:catAx>
      <c:valAx>
        <c:axId val="3692495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369233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11</cp:revision>
  <dcterms:created xsi:type="dcterms:W3CDTF">2024-10-15T18:34:00Z</dcterms:created>
  <dcterms:modified xsi:type="dcterms:W3CDTF">2025-04-16T16:39:00Z</dcterms:modified>
</cp:coreProperties>
</file>